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9" w:rsidRPr="008D4F3A" w:rsidRDefault="00381E88">
      <w:pPr>
        <w:pStyle w:val="Bodytext20"/>
        <w:shd w:val="clear" w:color="auto" w:fill="auto"/>
        <w:ind w:left="40" w:right="20"/>
      </w:pPr>
      <w:r>
        <w:rPr>
          <w:rStyle w:val="Bodytext2NotItalic"/>
          <w:b/>
          <w:bCs/>
        </w:rPr>
        <w:t xml:space="preserve">Представено от </w:t>
      </w:r>
      <w:proofErr w:type="spellStart"/>
      <w:r w:rsidR="00216FA3">
        <w:rPr>
          <w:rStyle w:val="Bodytext2NotItalic"/>
          <w:b/>
          <w:bCs/>
          <w:lang w:val="en-US"/>
        </w:rPr>
        <w:t>Министерство</w:t>
      </w:r>
      <w:proofErr w:type="spellEnd"/>
      <w:r w:rsidR="00216FA3">
        <w:rPr>
          <w:rStyle w:val="Bodytext2NotItalic"/>
          <w:b/>
          <w:bCs/>
          <w:lang w:val="en-US"/>
        </w:rPr>
        <w:t xml:space="preserve"> </w:t>
      </w:r>
      <w:proofErr w:type="spellStart"/>
      <w:r w:rsidR="00216FA3">
        <w:rPr>
          <w:rStyle w:val="Bodytext2NotItalic"/>
          <w:b/>
          <w:bCs/>
          <w:lang w:val="en-US"/>
        </w:rPr>
        <w:t>на</w:t>
      </w:r>
      <w:proofErr w:type="spellEnd"/>
      <w:r w:rsidR="00216FA3">
        <w:rPr>
          <w:rStyle w:val="Bodytext2NotItalic"/>
          <w:b/>
          <w:bCs/>
          <w:lang w:val="en-US"/>
        </w:rPr>
        <w:t xml:space="preserve"> </w:t>
      </w:r>
      <w:proofErr w:type="spellStart"/>
      <w:r w:rsidR="00216FA3">
        <w:rPr>
          <w:rStyle w:val="Bodytext2NotItalic"/>
          <w:b/>
          <w:bCs/>
          <w:lang w:val="en-US"/>
        </w:rPr>
        <w:t>околната</w:t>
      </w:r>
      <w:proofErr w:type="spellEnd"/>
      <w:r w:rsidR="00216FA3">
        <w:rPr>
          <w:rStyle w:val="Bodytext2NotItalic"/>
          <w:b/>
          <w:bCs/>
          <w:lang w:val="en-US"/>
        </w:rPr>
        <w:t xml:space="preserve"> </w:t>
      </w:r>
      <w:proofErr w:type="spellStart"/>
      <w:r w:rsidR="00216FA3">
        <w:rPr>
          <w:rStyle w:val="Bodytext2NotItalic"/>
          <w:b/>
          <w:bCs/>
          <w:lang w:val="en-US"/>
        </w:rPr>
        <w:t>среда</w:t>
      </w:r>
      <w:proofErr w:type="spellEnd"/>
      <w:r w:rsidR="00216FA3">
        <w:rPr>
          <w:rStyle w:val="Bodytext2NotItalic"/>
          <w:b/>
          <w:bCs/>
          <w:lang w:val="en-US"/>
        </w:rPr>
        <w:t xml:space="preserve"> и </w:t>
      </w:r>
      <w:proofErr w:type="spellStart"/>
      <w:r w:rsidR="00216FA3">
        <w:rPr>
          <w:rStyle w:val="Bodytext2NotItalic"/>
          <w:b/>
          <w:bCs/>
          <w:lang w:val="en-US"/>
        </w:rPr>
        <w:t>водите</w:t>
      </w:r>
      <w:proofErr w:type="spellEnd"/>
      <w:r w:rsidR="00216FA3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проект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на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„</w:t>
      </w:r>
      <w:proofErr w:type="spellStart"/>
      <w:r w:rsidR="008D4F3A" w:rsidRPr="008D4F3A">
        <w:rPr>
          <w:rStyle w:val="Bodytext2NotItalic"/>
          <w:b/>
          <w:bCs/>
          <w:lang w:val="en-US"/>
        </w:rPr>
        <w:t>Интегрирана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територ</w:t>
      </w:r>
      <w:r w:rsidR="00451FB7">
        <w:rPr>
          <w:rStyle w:val="Bodytext2NotItalic"/>
          <w:b/>
          <w:bCs/>
          <w:lang w:val="en-US"/>
        </w:rPr>
        <w:t>иална</w:t>
      </w:r>
      <w:proofErr w:type="spellEnd"/>
      <w:r w:rsidR="00451FB7">
        <w:rPr>
          <w:rStyle w:val="Bodytext2NotItalic"/>
          <w:b/>
          <w:bCs/>
          <w:lang w:val="en-US"/>
        </w:rPr>
        <w:t xml:space="preserve"> </w:t>
      </w:r>
      <w:proofErr w:type="spellStart"/>
      <w:r w:rsidR="00451FB7">
        <w:rPr>
          <w:rStyle w:val="Bodytext2NotItalic"/>
          <w:b/>
          <w:bCs/>
          <w:lang w:val="en-US"/>
        </w:rPr>
        <w:t>стратегия</w:t>
      </w:r>
      <w:proofErr w:type="spellEnd"/>
      <w:r w:rsidR="00451FB7">
        <w:rPr>
          <w:rStyle w:val="Bodytext2NotItalic"/>
          <w:b/>
          <w:bCs/>
          <w:lang w:val="en-US"/>
        </w:rPr>
        <w:t xml:space="preserve"> </w:t>
      </w:r>
      <w:proofErr w:type="spellStart"/>
      <w:r w:rsidR="00451FB7">
        <w:rPr>
          <w:rStyle w:val="Bodytext2NotItalic"/>
          <w:b/>
          <w:bCs/>
          <w:lang w:val="en-US"/>
        </w:rPr>
        <w:t>за</w:t>
      </w:r>
      <w:proofErr w:type="spellEnd"/>
      <w:r w:rsidR="00451FB7">
        <w:rPr>
          <w:rStyle w:val="Bodytext2NotItalic"/>
          <w:b/>
          <w:bCs/>
          <w:lang w:val="en-US"/>
        </w:rPr>
        <w:t xml:space="preserve"> </w:t>
      </w:r>
      <w:proofErr w:type="spellStart"/>
      <w:r w:rsidR="00451FB7">
        <w:rPr>
          <w:rStyle w:val="Bodytext2NotItalic"/>
          <w:b/>
          <w:bCs/>
          <w:lang w:val="en-US"/>
        </w:rPr>
        <w:t>развитие</w:t>
      </w:r>
      <w:proofErr w:type="spellEnd"/>
      <w:r w:rsidR="00451FB7">
        <w:rPr>
          <w:rStyle w:val="Bodytext2NotItalic"/>
          <w:b/>
          <w:bCs/>
          <w:lang w:val="en-US"/>
        </w:rPr>
        <w:t xml:space="preserve"> </w:t>
      </w:r>
      <w:proofErr w:type="spellStart"/>
      <w:r w:rsidR="00451FB7">
        <w:rPr>
          <w:rStyle w:val="Bodytext2NotItalic"/>
          <w:b/>
          <w:bCs/>
          <w:lang w:val="en-US"/>
        </w:rPr>
        <w:t>на</w:t>
      </w:r>
      <w:proofErr w:type="spellEnd"/>
      <w:r w:rsidR="00451FB7">
        <w:rPr>
          <w:rStyle w:val="Bodytext2NotItalic"/>
          <w:b/>
          <w:bCs/>
          <w:lang w:val="en-US"/>
        </w:rPr>
        <w:t xml:space="preserve"> </w:t>
      </w:r>
      <w:r w:rsidR="00451FB7">
        <w:rPr>
          <w:rStyle w:val="Bodytext2NotItalic"/>
          <w:b/>
          <w:bCs/>
        </w:rPr>
        <w:t>Южен централен</w:t>
      </w:r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регион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за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планиране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от</w:t>
      </w:r>
      <w:proofErr w:type="spellEnd"/>
      <w:r w:rsidR="008D4F3A" w:rsidRP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 w:rsidRPr="008D4F3A">
        <w:rPr>
          <w:rStyle w:val="Bodytext2NotItalic"/>
          <w:b/>
          <w:bCs/>
          <w:lang w:val="en-US"/>
        </w:rPr>
        <w:t>н</w:t>
      </w:r>
      <w:r w:rsidR="008D4F3A">
        <w:rPr>
          <w:rStyle w:val="Bodytext2NotItalic"/>
          <w:b/>
          <w:bCs/>
          <w:lang w:val="en-US"/>
        </w:rPr>
        <w:t>иво</w:t>
      </w:r>
      <w:proofErr w:type="spellEnd"/>
      <w:r w:rsidR="008D4F3A">
        <w:rPr>
          <w:rStyle w:val="Bodytext2NotItalic"/>
          <w:b/>
          <w:bCs/>
          <w:lang w:val="en-US"/>
        </w:rPr>
        <w:t xml:space="preserve"> 2 </w:t>
      </w:r>
      <w:proofErr w:type="spellStart"/>
      <w:r w:rsidR="008D4F3A">
        <w:rPr>
          <w:rStyle w:val="Bodytext2NotItalic"/>
          <w:b/>
          <w:bCs/>
          <w:lang w:val="en-US"/>
        </w:rPr>
        <w:t>за</w:t>
      </w:r>
      <w:proofErr w:type="spellEnd"/>
      <w:r w:rsidR="008D4F3A">
        <w:rPr>
          <w:rStyle w:val="Bodytext2NotItalic"/>
          <w:b/>
          <w:bCs/>
          <w:lang w:val="en-US"/>
        </w:rPr>
        <w:t xml:space="preserve"> </w:t>
      </w:r>
      <w:proofErr w:type="spellStart"/>
      <w:r w:rsidR="008D4F3A">
        <w:rPr>
          <w:rStyle w:val="Bodytext2NotItalic"/>
          <w:b/>
          <w:bCs/>
          <w:lang w:val="en-US"/>
        </w:rPr>
        <w:t>периода</w:t>
      </w:r>
      <w:proofErr w:type="spellEnd"/>
      <w:r w:rsidR="008D4F3A">
        <w:rPr>
          <w:rStyle w:val="Bodytext2NotItalic"/>
          <w:b/>
          <w:bCs/>
          <w:lang w:val="en-US"/>
        </w:rPr>
        <w:t xml:space="preserve"> 2021-2027 г.“</w:t>
      </w:r>
    </w:p>
    <w:p w:rsidR="00221129" w:rsidRDefault="00381E88">
      <w:pPr>
        <w:pStyle w:val="Bodytext30"/>
        <w:shd w:val="clear" w:color="auto" w:fill="auto"/>
        <w:spacing w:before="0"/>
        <w:ind w:left="40" w:right="20"/>
      </w:pPr>
      <w:r>
        <w:rPr>
          <w:rStyle w:val="Bodytext3NotItalic"/>
        </w:rPr>
        <w:t xml:space="preserve">В изпълнение на чл. 8, ал. 4 от </w:t>
      </w:r>
      <w:r>
        <w:t>Наредбата за условията и реда за извършване на екологична оценка на планове и програми</w:t>
      </w:r>
      <w:r>
        <w:rPr>
          <w:rStyle w:val="Bodytext3NotItalic"/>
        </w:rPr>
        <w:t xml:space="preserve"> (Наредба за ЕО), във връзка с постъпило в Министерство на околната среда и водите (МОСВ) </w:t>
      </w:r>
      <w:r w:rsidR="00EB2FE3">
        <w:rPr>
          <w:rStyle w:val="Bodytext3NotItalic"/>
        </w:rPr>
        <w:t>уведомление</w:t>
      </w:r>
      <w:r>
        <w:rPr>
          <w:rStyle w:val="Bodytext3NotItalic"/>
        </w:rPr>
        <w:t xml:space="preserve"> по чл. 8 от Наредбата за ЕО </w:t>
      </w:r>
      <w:r w:rsidR="00356517">
        <w:rPr>
          <w:rStyle w:val="Bodytext3NotItalic"/>
        </w:rPr>
        <w:t>с приложен проект на</w:t>
      </w:r>
      <w:r>
        <w:rPr>
          <w:rStyle w:val="Bodytext3NotItalic"/>
        </w:rPr>
        <w:t xml:space="preserve"> </w:t>
      </w:r>
      <w:r w:rsidR="00356517" w:rsidRPr="00356517">
        <w:t>„Интегрирана територ</w:t>
      </w:r>
      <w:r w:rsidR="00451FB7">
        <w:t>иална стратегия за развитие на Южен централен</w:t>
      </w:r>
      <w:r w:rsidR="00356517" w:rsidRPr="00356517">
        <w:t xml:space="preserve"> регион за планиране от ниво 2 за периода 2021-2027 г.“</w:t>
      </w:r>
      <w:r w:rsidR="00356517">
        <w:t xml:space="preserve"> </w:t>
      </w:r>
      <w:r>
        <w:rPr>
          <w:rStyle w:val="Bodytext3NotItalic"/>
        </w:rPr>
        <w:t>МОСВ информира за следното:</w:t>
      </w:r>
    </w:p>
    <w:p w:rsidR="00356517" w:rsidRDefault="00356517">
      <w:pPr>
        <w:pStyle w:val="BodyText1"/>
        <w:shd w:val="clear" w:color="auto" w:fill="auto"/>
        <w:ind w:left="40" w:right="20" w:firstLine="700"/>
        <w:rPr>
          <w:b/>
        </w:rPr>
      </w:pPr>
      <w:r w:rsidRPr="00356517">
        <w:rPr>
          <w:b/>
        </w:rPr>
        <w:t>І. По отношение на изискванията на глава шеста на Закона за опазване на околната среда (ЗООС):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</w:rPr>
        <w:t>ИТСР за развитие на Южен централен регион за планиране от ниво 2 е средносрочен стратегически планов документ, който определя политическата, икономическата, пространствената и тематична рамка на развитието на региона в годините на новия програмен период 2021-2027 г.</w:t>
      </w:r>
      <w:r w:rsidRPr="00244E28">
        <w:t xml:space="preserve"> </w:t>
      </w:r>
      <w:r w:rsidRPr="00244E28">
        <w:rPr>
          <w:bCs/>
        </w:rPr>
        <w:t>Стратегията за развитие на Южен централен регион за планиране от ниво 2 е разработена в съответствие с Национална концепция за пространствено развитие за периода 2013-2025 г. (Актуализация 2019 г.) и отчита предвижданията на регионално ниво на секторните стратегии в областта на икономическото развитие, здравеопазването, образованието, науката, социалните услуги, транспорта, водния сектор, енергетиката, широколентовите комуникации, туризма и околната среда. Формулираната визия за развитие на Южен централен регион за планиране от ниво 2 е пренесена от Регионалния план за развитие (2014-2020 г.) и включва 3 основни приоритета за развитие на региона</w:t>
      </w:r>
      <w:r w:rsidRPr="00244E28">
        <w:t xml:space="preserve"> </w:t>
      </w:r>
      <w:r w:rsidRPr="00244E28">
        <w:rPr>
          <w:bCs/>
        </w:rPr>
        <w:t>към които са формулирани специфични цели, както следва: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/>
          <w:bCs/>
        </w:rPr>
        <w:t>Приоритет 1:</w:t>
      </w:r>
      <w:r w:rsidRPr="00244E28">
        <w:rPr>
          <w:bCs/>
        </w:rPr>
        <w:t xml:space="preserve"> </w:t>
      </w:r>
      <w:r w:rsidRPr="00244E28">
        <w:rPr>
          <w:b/>
          <w:bCs/>
        </w:rPr>
        <w:t>Засилване на конкурентните позиции на Южен централен регион чрез инвестиции във факторите на растежа</w:t>
      </w:r>
      <w:r w:rsidRPr="00244E28">
        <w:rPr>
          <w:bCs/>
        </w:rPr>
        <w:t xml:space="preserve"> – този приоритет ще се реализира чрез подкрепа на регионалната икономика за иновативност и технологично развитие и повишаване на добавената стойност. Ще се наблегне особено на системата на образованието и дигитализацията на образователната, икономическа и административни сфери.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  <w:i/>
        </w:rPr>
        <w:t>Специфична цел 1.1</w:t>
      </w:r>
      <w:r w:rsidRPr="00244E28">
        <w:rPr>
          <w:bCs/>
        </w:rPr>
        <w:t xml:space="preserve"> </w:t>
      </w:r>
      <w:r w:rsidRPr="00244E28">
        <w:rPr>
          <w:bCs/>
          <w:i/>
        </w:rPr>
        <w:t>Подкрепа на регионалната икономика за иновативност и технологично развитие и повишаване на добавената стойност</w:t>
      </w:r>
      <w:r w:rsidRPr="00244E28">
        <w:rPr>
          <w:bCs/>
        </w:rPr>
        <w:t>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 xml:space="preserve">Специфична цел 1.2 Подобряване на </w:t>
      </w:r>
      <w:proofErr w:type="spellStart"/>
      <w:r w:rsidRPr="00244E28">
        <w:rPr>
          <w:bCs/>
          <w:i/>
        </w:rPr>
        <w:t>цифровизацията</w:t>
      </w:r>
      <w:proofErr w:type="spellEnd"/>
      <w:r w:rsidRPr="00244E28">
        <w:rPr>
          <w:bCs/>
          <w:i/>
        </w:rPr>
        <w:t xml:space="preserve"> на икономиката на ЮЦРП;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>Специфична цел 1.3 Добро образование, професионално развитие и нови знания;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>Специфична цел 1.4 Подобряване на бизнес средата и стимулиране на предприемачеството;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>Специфична цел 1.5 Развитие на конкурентни сектори, базиране на местните ресурси.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/>
          <w:bCs/>
        </w:rPr>
        <w:t>Приоритет 2: Подобряване на социалната и екологична среда</w:t>
      </w:r>
      <w:r w:rsidRPr="00244E28">
        <w:rPr>
          <w:bCs/>
        </w:rPr>
        <w:t xml:space="preserve"> – насочен е към повишаване качеството на живот като се подобрят и се получават висококачествени социални, здравни, културни и други обществени услуги, чрез инвестиции както във физическите параметри на заведенията, където се предлагат тези услуги (сгради, оборудване и т.н.), така и с подобряване на „меката“ инфраструктура, свързана с количеството и качеството на предлаганите услуги в тези заведения.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>Специфична цел 2.1 Подобряване на достъпа до качествени здравни, социални, културни услуги и спорт;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lastRenderedPageBreak/>
        <w:t>Специфична цел 2.2 Подобряване на екологична инфраструктура;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 xml:space="preserve">Специфична цел 2.3 Ориентиране към по-зелена, </w:t>
      </w:r>
      <w:proofErr w:type="spellStart"/>
      <w:r w:rsidRPr="00244E28">
        <w:rPr>
          <w:bCs/>
          <w:i/>
        </w:rPr>
        <w:t>нисковъглеродна</w:t>
      </w:r>
      <w:proofErr w:type="spellEnd"/>
      <w:r w:rsidRPr="00244E28">
        <w:rPr>
          <w:bCs/>
          <w:i/>
        </w:rPr>
        <w:t xml:space="preserve"> икономика.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/>
          <w:bCs/>
        </w:rPr>
        <w:t>Приоритет 3: По балансирано териториално развитие и намаляване на неравенствата</w:t>
      </w:r>
      <w:r w:rsidRPr="00244E28">
        <w:rPr>
          <w:bCs/>
        </w:rPr>
        <w:t xml:space="preserve"> – този приоритет ще се постигне чрез подобряване на свързаността в региона и качеството на средата в населените места, укрепване на градовете центрове и ориентиране към </w:t>
      </w:r>
      <w:proofErr w:type="spellStart"/>
      <w:r w:rsidRPr="00244E28">
        <w:rPr>
          <w:bCs/>
        </w:rPr>
        <w:t>полицентрично</w:t>
      </w:r>
      <w:proofErr w:type="spellEnd"/>
      <w:r w:rsidRPr="00244E28">
        <w:rPr>
          <w:bCs/>
        </w:rPr>
        <w:t xml:space="preserve"> пространствено развитие.</w:t>
      </w:r>
      <w:r w:rsidRPr="00244E28">
        <w:t xml:space="preserve"> </w:t>
      </w:r>
      <w:r w:rsidRPr="00244E28">
        <w:rPr>
          <w:bCs/>
        </w:rPr>
        <w:t>За подобряване на свързаността на региона в международен, национален и вътрешно регионален план се планира да бъдат реализирани редица проекти за обновяване и разширяване на транспортно-комуникационната инфраструктура и изграждане на съвременна цифрова инфраструктура, осигуряваща достъп на всички населени места до интернет и получаване на базови електронни услуги.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>Специфична цел 3.1. Подобряване на транспортната и цифрова свързаност и достъпност;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>Специфична цел 3.2 Подкрепа за балансирано пространствено развитие;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  <w:i/>
        </w:rPr>
      </w:pPr>
      <w:r w:rsidRPr="00244E28">
        <w:rPr>
          <w:bCs/>
          <w:i/>
        </w:rPr>
        <w:t>Специфична цел 3.3 Развитие и териториално сътрудничество.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</w:rPr>
        <w:t xml:space="preserve">В териториалния обхват на Южен централен регион попадат териториите на областите: Пловдив, Пазарджик, Смолян, Кърджали и Хасково, с общо 58 общини: 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</w:rPr>
        <w:t>- Област Пловдив – общини Асеновград, Брезово, Калояново, Куклен, Карлово, Лъки, Марица, Пловдив, Първомай, Раковски, Родопска община, Садово, Сопот, Стамболийски, Съединение, Хисаря, Перущица и Кричим;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</w:rPr>
        <w:t>- Област Пазарджик – общини Батак, Белово, Брацигово, Пещера, Велинград, Лесичово, Пазарджик, Панагюрище, Ракитово, Септември и Стрелча;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</w:rPr>
        <w:t>- Област Смолян – общини Баните, Борино, Девин, Доспат, Неделино, Златоград, Мадан, Рудозем, Смолян и Чепеларе;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</w:rPr>
        <w:t>- Област Кърджали – общини Кърджали, Ардино, Джебел, Кирково, Крумовград, Момчилград и Черноочене;</w:t>
      </w:r>
    </w:p>
    <w:p w:rsidR="00244E28" w:rsidRPr="00244E28" w:rsidRDefault="00244E28" w:rsidP="00244E28">
      <w:pPr>
        <w:pStyle w:val="BodyText1"/>
        <w:ind w:left="40" w:right="20" w:firstLine="700"/>
        <w:rPr>
          <w:bCs/>
        </w:rPr>
      </w:pPr>
      <w:r w:rsidRPr="00244E28">
        <w:rPr>
          <w:bCs/>
        </w:rPr>
        <w:t>- Област Хасково – общини Димитровград, Ивайловград, Любимец, Стамболово, Маджарово, Хасково, Минерални Бани, Свиленград, Симеоновград, Тополовград и Харманли.</w:t>
      </w:r>
    </w:p>
    <w:p w:rsidR="00244E28" w:rsidRPr="00244E28" w:rsidRDefault="00244E28" w:rsidP="00244E28">
      <w:pPr>
        <w:pStyle w:val="BodyText1"/>
        <w:ind w:left="40" w:right="20" w:firstLine="700"/>
      </w:pPr>
      <w:r w:rsidRPr="00244E28">
        <w:t xml:space="preserve">ИТСР на Южен централен регион попада в обхвата на чл. 85, ал. 1 от Закона за опазване на околната среда (ЗООС) и на основание чл. 2, ал. 1, т. 1 от </w:t>
      </w:r>
      <w:r w:rsidRPr="00244E28">
        <w:rPr>
          <w:i/>
        </w:rPr>
        <w:t>Наредбата за ЕО</w:t>
      </w:r>
      <w:r w:rsidRPr="00244E28">
        <w:t>, подлежи на процедура по екологична оценка (ЕО). Съгласно чл. 82, ал. 1 от ЗООС процедурата по ЕО се съвместява изцяло с действащите процедури по изготвяне на планове/измененията на планове и завършва преди тяхното одобряване. ИТСР на Южен централен регион за планиране от ниво 2 се одобрява от Министерския съвет по предложение на министъра на регионалното развитие и благоустройството, предвид което, на основание чл. 4, т. 1</w:t>
      </w:r>
      <w:r w:rsidR="00E00D54">
        <w:t xml:space="preserve"> от Наредбата за ЕО</w:t>
      </w:r>
      <w:bookmarkStart w:id="0" w:name="_GoBack"/>
      <w:bookmarkEnd w:id="0"/>
      <w:r w:rsidRPr="00244E28">
        <w:t>, както и чл. 4 т. 2 от същата наредба във връзка с чл. 10, ал. 2, т. 4 от ЗООС, компетентен орган за провеждане на процедурата по ЕО е министърът на околната среда и водите.</w:t>
      </w:r>
    </w:p>
    <w:p w:rsidR="001B2C22" w:rsidRPr="001B2C22" w:rsidRDefault="001B2C22" w:rsidP="00FA118F">
      <w:pPr>
        <w:pStyle w:val="BodyText1"/>
        <w:shd w:val="clear" w:color="auto" w:fill="auto"/>
        <w:ind w:left="40" w:right="20" w:firstLine="700"/>
        <w:rPr>
          <w:b/>
        </w:rPr>
      </w:pPr>
      <w:r w:rsidRPr="001B2C22">
        <w:rPr>
          <w:b/>
        </w:rPr>
        <w:t>ІІ. По отношение на изискванията на чл. 31 от Закона за биологичното разнообразие (ЗБР):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ИТСР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на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Южен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централен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регион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за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планиране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от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ниво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2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за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периода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2021-2027 г. </w:t>
      </w:r>
      <w:proofErr w:type="spellStart"/>
      <w:proofErr w:type="gram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подлежи</w:t>
      </w:r>
      <w:proofErr w:type="spellEnd"/>
      <w:proofErr w:type="gram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на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процедура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по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задължителна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ЕО, в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тази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връзка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попада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и в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обхвата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на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чл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. </w:t>
      </w:r>
      <w:proofErr w:type="gram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2,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ал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.</w:t>
      </w:r>
      <w:proofErr w:type="gram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gram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1, т. 1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от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i/>
          <w:color w:val="auto"/>
          <w:bdr w:val="none" w:sz="0" w:space="0" w:color="auto" w:frame="1"/>
          <w:lang w:val="en-US" w:eastAsia="bg-BG"/>
        </w:rPr>
        <w:t>Наредбата</w:t>
      </w:r>
      <w:proofErr w:type="spellEnd"/>
      <w:r w:rsidRPr="00244E28">
        <w:rPr>
          <w:rFonts w:ascii="Times New Roman" w:eastAsia="Times New Roman" w:hAnsi="Times New Roman" w:cs="Times New Roman"/>
          <w:bCs/>
          <w:i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i/>
          <w:color w:val="auto"/>
          <w:bdr w:val="none" w:sz="0" w:space="0" w:color="auto" w:frame="1"/>
          <w:lang w:val="en-US" w:eastAsia="bg-BG"/>
        </w:rPr>
        <w:t>за</w:t>
      </w:r>
      <w:proofErr w:type="spellEnd"/>
      <w:r w:rsidRPr="00244E28">
        <w:rPr>
          <w:rFonts w:ascii="Times New Roman" w:eastAsia="Times New Roman" w:hAnsi="Times New Roman" w:cs="Times New Roman"/>
          <w:bCs/>
          <w:i/>
          <w:color w:val="auto"/>
          <w:bdr w:val="none" w:sz="0" w:space="0" w:color="auto" w:frame="1"/>
          <w:lang w:val="en-US" w:eastAsia="bg-BG"/>
        </w:rPr>
        <w:t xml:space="preserve"> ОС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, и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подлежи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на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процедура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по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оценка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за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съвместимостта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с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предмета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и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целите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на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опазване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на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защитени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зони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,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която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съгласно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чл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.</w:t>
      </w:r>
      <w:proofErr w:type="gram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gram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31,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ал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.</w:t>
      </w:r>
      <w:proofErr w:type="gram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gram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4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във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връзка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с ал.1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от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ЗБР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се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извършва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чрез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процедурата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</w:t>
      </w:r>
      <w:proofErr w:type="spellStart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по</w:t>
      </w:r>
      <w:proofErr w:type="spellEnd"/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 xml:space="preserve"> ЕО.</w:t>
      </w:r>
      <w:proofErr w:type="gramEnd"/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lastRenderedPageBreak/>
        <w:t>В територията на Южен централен регион попадат защитени територии, по смисъла на Закона за защитените територии (ЗЗТ) и защитени зони по смисъла на Закона за биологичното разнообразие (ЗБР), както следва: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-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ab/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301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 бр. защитени територии, от които 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98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 бр. природни забележителности, 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179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 бр. защитени местности, 12 бр. резервати, 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val="en-US" w:eastAsia="bg-BG"/>
        </w:rPr>
        <w:t>10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 бр. поддържани резервати и 2 бр. национални парка;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-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ab/>
        <w:t>39 бр. защитени зони за опазване на природните местообитания и на дивата флора и фауна, включени в приетите от Министерски съвет списъци;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-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ab/>
        <w:t>28 бр. защитени зони за опазване на дивите птици, от които всички с изключение на една имат издадени от министъра на околната среда и водите заповеди за обявяването им.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При извършената проверка за допустимост по смисъла на чл. 36, ал. 2 от Наредбата за ОС се установи, че ИТСР на Южен централен регион за планиране от ниво 2 за периода 2021-2027 г. </w:t>
      </w:r>
      <w:r w:rsidRPr="00244E28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bg-BG"/>
        </w:rPr>
        <w:t>е допустима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 при съобразяване на произтичащите от нея планове, програми, проекти и инвестиционни предложения с: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-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ab/>
        <w:t>режимите на защитените територии, определени със ЗЗТ, заповедите за обявяването им и с утвърдените планове за управлението им;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-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ab/>
        <w:t>режимите на защитените зони, определени със заповедите за обявяването им и с утвърдените планове за управлението им, при наличие на такива;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На основание чл. 36, ал. 3 от </w:t>
      </w:r>
      <w:r w:rsidRPr="00244E28">
        <w:rPr>
          <w:rFonts w:ascii="Times New Roman" w:eastAsia="Times New Roman" w:hAnsi="Times New Roman" w:cs="Times New Roman"/>
          <w:bCs/>
          <w:i/>
          <w:color w:val="auto"/>
          <w:bdr w:val="none" w:sz="0" w:space="0" w:color="auto" w:frame="1"/>
          <w:lang w:eastAsia="bg-BG"/>
        </w:rPr>
        <w:t>Наредбата за ОС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 е извършена преценка за вероятната степен на отрицателно въздействие, според която ИТСР за развитие на Южен централен регион за планиране от ниво 2 за периода</w:t>
      </w:r>
      <w:r w:rsidRPr="00244E28">
        <w:rPr>
          <w:rFonts w:ascii="Times New Roman" w:eastAsia="Times New Roman" w:hAnsi="Times New Roman" w:cs="Times New Roman"/>
          <w:bCs/>
          <w:i/>
          <w:color w:val="auto"/>
          <w:bdr w:val="none" w:sz="0" w:space="0" w:color="auto" w:frame="1"/>
          <w:lang w:eastAsia="bg-BG"/>
        </w:rPr>
        <w:t xml:space="preserve"> 2021-2027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“ </w:t>
      </w:r>
      <w:r w:rsidRPr="00244E28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bg-BG"/>
        </w:rPr>
        <w:t xml:space="preserve">няма 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 xml:space="preserve">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 от мрежата Натура 2000, поради следните 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center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М О Т И В И:</w:t>
      </w: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center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</w:p>
    <w:p w:rsidR="00244E28" w:rsidRPr="00244E28" w:rsidRDefault="00244E28" w:rsidP="00244E28">
      <w:pPr>
        <w:widowControl/>
        <w:tabs>
          <w:tab w:val="left" w:pos="1134"/>
        </w:tabs>
        <w:ind w:right="-1" w:firstLine="851"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</w:pP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>1.</w:t>
      </w:r>
      <w:r w:rsidRPr="00244E28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bg-BG"/>
        </w:rPr>
        <w:tab/>
        <w:t>Предмет на ИТСР на Южен централен регион не са конкретни планове, проекти, програми или инвестиционни предложения, а общата идейна рамка на визията за развитие на региона. Част от формулираните със специфичните цели дейности за постигане на стратегическите цели са свързани с изграждане на бизнес мрежи, стимулиране развитието на различни форми на туризъм, подобряване на качеството на живот и на свързаността на района в национален и международен план, подобряване на достъпа до образователни, здравни, социални, културни услуги и спорт и др., поради което няма вероятност от пряко или косвено отрицателно въздействие върху ключовите елементи на защитените зони, включително върху структурата, числеността и плътността на популациите на опазваните в защитените зони видове, вкл. птици;</w:t>
      </w:r>
    </w:p>
    <w:p w:rsidR="00244E28" w:rsidRDefault="00244E28" w:rsidP="00244E28">
      <w:pPr>
        <w:pStyle w:val="BodyText1"/>
        <w:shd w:val="clear" w:color="auto" w:fill="auto"/>
        <w:ind w:left="40" w:right="20" w:firstLine="700"/>
        <w:rPr>
          <w:bCs/>
          <w:color w:val="auto"/>
          <w:sz w:val="24"/>
          <w:szCs w:val="24"/>
          <w:bdr w:val="none" w:sz="0" w:space="0" w:color="auto" w:frame="1"/>
          <w:lang w:eastAsia="bg-BG"/>
        </w:rPr>
      </w:pPr>
      <w:r w:rsidRPr="00244E28">
        <w:rPr>
          <w:bCs/>
          <w:color w:val="auto"/>
          <w:sz w:val="24"/>
          <w:szCs w:val="24"/>
          <w:bdr w:val="none" w:sz="0" w:space="0" w:color="auto" w:frame="1"/>
          <w:lang w:eastAsia="bg-BG"/>
        </w:rPr>
        <w:t>2.</w:t>
      </w:r>
      <w:r w:rsidRPr="00244E28">
        <w:rPr>
          <w:bCs/>
          <w:color w:val="auto"/>
          <w:sz w:val="24"/>
          <w:szCs w:val="24"/>
          <w:bdr w:val="none" w:sz="0" w:space="0" w:color="auto" w:frame="1"/>
          <w:lang w:eastAsia="bg-BG"/>
        </w:rPr>
        <w:tab/>
        <w:t>ИТСР на Южен централен регион отчита предвижданията на регионално ниво на секторните стратегии в областта на икономическото развитие, здравеопазването, образованието, науката, социалните услуги, транспорта, водния сектор, енергетиката, широколентовите комуникации, туризма и околната среда и ще допринесе за тяхното постигане чрез изпълнение на заложените цели, като не се очаква това да доведе до значителни отрицателни въздействия върху територии от мрежата Натура 2000</w:t>
      </w:r>
      <w:r w:rsidR="003D5FFD">
        <w:rPr>
          <w:bCs/>
          <w:color w:val="auto"/>
          <w:sz w:val="24"/>
          <w:szCs w:val="24"/>
          <w:bdr w:val="none" w:sz="0" w:space="0" w:color="auto" w:frame="1"/>
          <w:lang w:eastAsia="bg-BG"/>
        </w:rPr>
        <w:t>.</w:t>
      </w:r>
    </w:p>
    <w:p w:rsidR="00244E28" w:rsidRPr="00244E28" w:rsidRDefault="00244E28" w:rsidP="00244E28">
      <w:pPr>
        <w:pStyle w:val="BodyText1"/>
        <w:rPr>
          <w:b/>
          <w:bCs/>
          <w:color w:val="auto"/>
          <w:bdr w:val="none" w:sz="0" w:space="0" w:color="auto" w:frame="1"/>
          <w:lang w:eastAsia="bg-BG"/>
        </w:rPr>
      </w:pPr>
      <w:r w:rsidRPr="00244E28">
        <w:rPr>
          <w:b/>
          <w:bCs/>
          <w:color w:val="auto"/>
          <w:bdr w:val="none" w:sz="0" w:space="0" w:color="auto" w:frame="1"/>
          <w:lang w:eastAsia="bg-BG"/>
        </w:rPr>
        <w:t>/</w:t>
      </w:r>
      <w:proofErr w:type="spellStart"/>
      <w:r w:rsidRPr="00244E28">
        <w:rPr>
          <w:b/>
          <w:bCs/>
          <w:color w:val="auto"/>
          <w:bdr w:val="none" w:sz="0" w:space="0" w:color="auto" w:frame="1"/>
          <w:lang w:eastAsia="bg-BG"/>
        </w:rPr>
        <w:t>отговорено</w:t>
      </w:r>
      <w:proofErr w:type="spellEnd"/>
      <w:r w:rsidRPr="00244E28">
        <w:rPr>
          <w:b/>
          <w:bCs/>
          <w:color w:val="auto"/>
          <w:bdr w:val="none" w:sz="0" w:space="0" w:color="auto" w:frame="1"/>
          <w:lang w:eastAsia="bg-BG"/>
        </w:rPr>
        <w:t xml:space="preserve"> от МОСВ на </w:t>
      </w:r>
      <w:r w:rsidRPr="00244E28">
        <w:rPr>
          <w:b/>
          <w:bCs/>
          <w:color w:val="auto"/>
          <w:bdr w:val="none" w:sz="0" w:space="0" w:color="auto" w:frame="1"/>
          <w:lang w:val="en-US" w:eastAsia="bg-BG"/>
        </w:rPr>
        <w:t>01</w:t>
      </w:r>
      <w:r w:rsidRPr="00244E28">
        <w:rPr>
          <w:b/>
          <w:bCs/>
          <w:color w:val="auto"/>
          <w:bdr w:val="none" w:sz="0" w:space="0" w:color="auto" w:frame="1"/>
          <w:lang w:eastAsia="bg-BG"/>
        </w:rPr>
        <w:t>.0</w:t>
      </w:r>
      <w:r w:rsidRPr="00244E28">
        <w:rPr>
          <w:b/>
          <w:bCs/>
          <w:color w:val="auto"/>
          <w:bdr w:val="none" w:sz="0" w:space="0" w:color="auto" w:frame="1"/>
          <w:lang w:val="en-US" w:eastAsia="bg-BG"/>
        </w:rPr>
        <w:t>6</w:t>
      </w:r>
      <w:r w:rsidRPr="00244E28">
        <w:rPr>
          <w:b/>
          <w:bCs/>
          <w:color w:val="auto"/>
          <w:bdr w:val="none" w:sz="0" w:space="0" w:color="auto" w:frame="1"/>
          <w:lang w:eastAsia="bg-BG"/>
        </w:rPr>
        <w:t>.2020 г./</w:t>
      </w:r>
    </w:p>
    <w:sectPr w:rsidR="00244E28" w:rsidRPr="00244E28">
      <w:type w:val="continuous"/>
      <w:pgSz w:w="12240" w:h="16838"/>
      <w:pgMar w:top="2349" w:right="1392" w:bottom="2349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07" w:rsidRDefault="001D6007">
      <w:r>
        <w:separator/>
      </w:r>
    </w:p>
  </w:endnote>
  <w:endnote w:type="continuationSeparator" w:id="0">
    <w:p w:rsidR="001D6007" w:rsidRDefault="001D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07" w:rsidRDefault="001D6007"/>
  </w:footnote>
  <w:footnote w:type="continuationSeparator" w:id="0">
    <w:p w:rsidR="001D6007" w:rsidRDefault="001D60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1129"/>
    <w:rsid w:val="0008681A"/>
    <w:rsid w:val="001B2C22"/>
    <w:rsid w:val="001C3D0E"/>
    <w:rsid w:val="001D6007"/>
    <w:rsid w:val="00216FA3"/>
    <w:rsid w:val="00221129"/>
    <w:rsid w:val="00244E28"/>
    <w:rsid w:val="00356517"/>
    <w:rsid w:val="00381E88"/>
    <w:rsid w:val="003D5FFD"/>
    <w:rsid w:val="00451FB7"/>
    <w:rsid w:val="005F2AA7"/>
    <w:rsid w:val="006963FB"/>
    <w:rsid w:val="00723A9A"/>
    <w:rsid w:val="008D4F3A"/>
    <w:rsid w:val="00AA596A"/>
    <w:rsid w:val="00E00D54"/>
    <w:rsid w:val="00EB2FE3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Char1Char">
    <w:name w:val="Char Char1 Char"/>
    <w:basedOn w:val="Normal"/>
    <w:semiHidden/>
    <w:rsid w:val="00244E28"/>
    <w:pPr>
      <w:widowControl/>
      <w:tabs>
        <w:tab w:val="left" w:pos="709"/>
      </w:tabs>
    </w:pPr>
    <w:rPr>
      <w:rFonts w:ascii="Futura Bk" w:eastAsia="Times New Roman" w:hAnsi="Futura Bk" w:cs="Times New Roman"/>
      <w:color w:val="auto"/>
      <w:sz w:val="20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44E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E2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4E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E2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PPetrov</dc:creator>
  <cp:keywords/>
  <cp:lastModifiedBy>Administrator</cp:lastModifiedBy>
  <cp:revision>10</cp:revision>
  <dcterms:created xsi:type="dcterms:W3CDTF">2020-05-29T08:31:00Z</dcterms:created>
  <dcterms:modified xsi:type="dcterms:W3CDTF">2020-06-01T13:00:00Z</dcterms:modified>
</cp:coreProperties>
</file>